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September 3,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Dear Colleague: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On behalf of the Executive Board of COCFA, I welcome you to the start of a new year at College of the Canyons.  Our goal as educators and members of the College of the Canyons Faculty Association is to offer </w:t>
      </w:r>
      <w:r w:rsidDel="00000000" w:rsidR="00000000" w:rsidRPr="00000000">
        <w:rPr>
          <w:rFonts w:ascii="Helvetica Neue" w:cs="Helvetica Neue" w:eastAsia="Helvetica Neue" w:hAnsi="Helvetica Neue"/>
          <w:sz w:val="20"/>
          <w:szCs w:val="20"/>
          <w:rtl w:val="0"/>
        </w:rPr>
        <w:t xml:space="preserve">high-quality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education to our students.  Working as a unified team can help us to achieve this goal.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As a full member of the Association, you can take advantage of all the rights and benefits that come with membership. Members may vote for Association officers, are covered under the $1,000,000 CTA/NEA Educators Employment Liability coverage, have full access to legal representation, and are eligible for CTA-sponsored insurance programs and many other valuable membership benefits.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 COCFA Executive Board members want you to know exactly how your dues are spent, so we include the chart below to document this.  The largest portion of your dues goes to the National Education Association (NEA) and the California </w:t>
      </w:r>
      <w:r w:rsidDel="00000000" w:rsidR="00000000" w:rsidRPr="00000000">
        <w:rPr>
          <w:rFonts w:ascii="Helvetica Neue" w:cs="Helvetica Neue" w:eastAsia="Helvetica Neue" w:hAnsi="Helvetica Neue"/>
          <w:sz w:val="20"/>
          <w:szCs w:val="20"/>
          <w:rtl w:val="0"/>
        </w:rPr>
        <w:t xml:space="preserve">Teachers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Association (CTA) – both are major organizations that work to keep the importance of education in the public’s eye.  The Community College Association (CCA) is a branch of CTA, which offers support to local community college associations, including negotiation, budget, and grievance workshops, along with legal support.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right" w:pos="43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20</w:t>
      </w:r>
      <w:r w:rsidDel="00000000" w:rsidR="00000000" w:rsidRPr="00000000">
        <w:rPr>
          <w:rFonts w:ascii="Helvetica Neue" w:cs="Helvetica Neue" w:eastAsia="Helvetica Neue" w:hAnsi="Helvetica Neue"/>
          <w:sz w:val="20"/>
          <w:szCs w:val="20"/>
          <w:u w:val="single"/>
          <w:rtl w:val="0"/>
        </w:rPr>
        <w:t xml:space="preserve">22-2023</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Tenthly (Oct-July)</w:t>
        <w:tab/>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right" w:pos="43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State CTA/CCA Dues</w:t>
        <w:tab/>
        <w:tab/>
        <w:t xml:space="preserve">$  </w:t>
      </w:r>
      <w:r w:rsidDel="00000000" w:rsidR="00000000" w:rsidRPr="00000000">
        <w:rPr>
          <w:rFonts w:ascii="Helvetica Neue" w:cs="Helvetica Neue" w:eastAsia="Helvetica Neue" w:hAnsi="Helvetica Neue"/>
          <w:sz w:val="20"/>
          <w:szCs w:val="20"/>
          <w:rtl w:val="0"/>
        </w:rPr>
        <w:t xml:space="preserve">867</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.00</w:t>
        <w:tab/>
        <w:t xml:space="preserve">$  </w:t>
      </w:r>
      <w:r w:rsidDel="00000000" w:rsidR="00000000" w:rsidRPr="00000000">
        <w:rPr>
          <w:rFonts w:ascii="Helvetica Neue" w:cs="Helvetica Neue" w:eastAsia="Helvetica Neue" w:hAnsi="Helvetica Neue"/>
          <w:sz w:val="20"/>
          <w:szCs w:val="20"/>
          <w:rtl w:val="0"/>
        </w:rPr>
        <w:t xml:space="preserve">86.70</w:t>
        <w:tab/>
        <w:tab/>
        <w:tab/>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right" w:pos="43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NEA Dues</w:t>
        <w:tab/>
        <w:tab/>
        <w:t xml:space="preserve">$  </w:t>
      </w:r>
      <w:r w:rsidDel="00000000" w:rsidR="00000000" w:rsidRPr="00000000">
        <w:rPr>
          <w:rFonts w:ascii="Helvetica Neue" w:cs="Helvetica Neue" w:eastAsia="Helvetica Neue" w:hAnsi="Helvetica Neue"/>
          <w:sz w:val="20"/>
          <w:szCs w:val="20"/>
          <w:rtl w:val="0"/>
        </w:rPr>
        <w:t xml:space="preserve">204</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.00</w:t>
        <w:tab/>
        <w:t xml:space="preserve">$  </w:t>
      </w:r>
      <w:r w:rsidDel="00000000" w:rsidR="00000000" w:rsidRPr="00000000">
        <w:rPr>
          <w:rFonts w:ascii="Helvetica Neue" w:cs="Helvetica Neue" w:eastAsia="Helvetica Neue" w:hAnsi="Helvetica Neue"/>
          <w:sz w:val="20"/>
          <w:szCs w:val="20"/>
          <w:rtl w:val="0"/>
        </w:rPr>
        <w:t xml:space="preserve">20.40</w:t>
        <w:tab/>
        <w:tab/>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right" w:pos="43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Local Dues</w:t>
        <w:tab/>
        <w:tab/>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  300.00</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  30.00</w:t>
        <w:tab/>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510"/>
          <w:tab w:val="right" w:pos="4320"/>
        </w:tabs>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Total</w:t>
        <w:tab/>
        <w:tab/>
        <w:t xml:space="preserve">$</w:t>
      </w:r>
      <w:r w:rsidDel="00000000" w:rsidR="00000000" w:rsidRPr="00000000">
        <w:rPr>
          <w:rFonts w:ascii="Helvetica Neue" w:cs="Helvetica Neue" w:eastAsia="Helvetica Neue" w:hAnsi="Helvetica Neue"/>
          <w:b w:val="1"/>
          <w:sz w:val="20"/>
          <w:szCs w:val="20"/>
          <w:rtl w:val="0"/>
        </w:rPr>
        <w:t xml:space="preserve">1,371.00</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ab/>
        <w:t xml:space="preserve">$</w:t>
      </w:r>
      <w:r w:rsidDel="00000000" w:rsidR="00000000" w:rsidRPr="00000000">
        <w:rPr>
          <w:rFonts w:ascii="Helvetica Neue" w:cs="Helvetica Neue" w:eastAsia="Helvetica Neue" w:hAnsi="Helvetica Neue"/>
          <w:b w:val="1"/>
          <w:sz w:val="20"/>
          <w:szCs w:val="20"/>
          <w:rtl w:val="0"/>
        </w:rPr>
        <w:t xml:space="preserve"> 137.10</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CTA dues include a $20 Voluntary Dues Contribution to support CTA advocacy and CTA Foundation for Teaching and Learning. If you do not wish to contribute this amount, you may request a refund by completing the form and mailing it to the address shown on the form.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Please feel free to contact </w:t>
      </w:r>
      <w:r w:rsidDel="00000000" w:rsidR="00000000" w:rsidRPr="00000000">
        <w:rPr>
          <w:rFonts w:ascii="Helvetica Neue" w:cs="Helvetica Neue" w:eastAsia="Helvetica Neue" w:hAnsi="Helvetica Neue"/>
          <w:sz w:val="20"/>
          <w:szCs w:val="20"/>
          <w:rtl w:val="0"/>
        </w:rPr>
        <w:t xml:space="preserve">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of us if you have any questions or concerns.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Pacifico" w:cs="Pacifico" w:eastAsia="Pacifico" w:hAnsi="Pacifico"/>
          <w:i w:val="0"/>
          <w:smallCaps w:val="0"/>
          <w:strike w:val="0"/>
          <w:color w:val="000000"/>
          <w:sz w:val="28"/>
          <w:szCs w:val="28"/>
          <w:u w:val="none"/>
          <w:shd w:fill="auto" w:val="clear"/>
          <w:vertAlign w:val="baseline"/>
        </w:rPr>
      </w:pPr>
      <w:r w:rsidDel="00000000" w:rsidR="00000000" w:rsidRPr="00000000">
        <w:rPr>
          <w:rFonts w:ascii="Pacifico" w:cs="Pacifico" w:eastAsia="Pacifico" w:hAnsi="Pacifico"/>
          <w:sz w:val="28"/>
          <w:szCs w:val="28"/>
          <w:rtl w:val="0"/>
        </w:rPr>
        <w:t xml:space="preserve">Jason Burgdorfer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Jason Burgdorfer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President, COCFA</w:t>
      </w:r>
    </w:p>
    <w:sectPr>
      <w:headerReference r:id="rId7" w:type="default"/>
      <w:footerReference r:id="rId8" w:type="default"/>
      <w:pgSz w:h="15840" w:w="12240" w:orient="portrait"/>
      <w:pgMar w:bottom="1440" w:top="1440" w:left="1440" w:right="1440" w:header="432" w:footer="58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Eikey" w:id="0" w:date="2022-08-22T15:41:48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he the new VP?</w:t>
      </w:r>
    </w:p>
  </w:comment>
  <w:comment w:author="Nicole Faudree" w:id="1" w:date="2022-08-22T16:26:56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Stears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acific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College of the Canyons Faculty Assoc., 26455 Rockwell Canyon Road, Santa Clarita, CA 91355  (661) 259-7800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highlight w:val="yellow"/>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Pr>
      <w:drawing>
        <wp:inline distB="0" distT="0" distL="0" distR="0">
          <wp:extent cx="1715285" cy="18052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15285" cy="180526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1"/>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Jason Burgdorfer</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 - President, </w:t>
    </w:r>
    <w:commentRangeStart w:id="0"/>
    <w:commentRangeStart w:id="1"/>
    <w:r w:rsidDel="00000000" w:rsidR="00000000" w:rsidRPr="00000000">
      <w:rPr>
        <w:rFonts w:ascii="Helvetica Neue" w:cs="Helvetica Neue" w:eastAsia="Helvetica Neue" w:hAnsi="Helvetica Neue"/>
        <w:b w:val="1"/>
        <w:sz w:val="16"/>
        <w:szCs w:val="16"/>
        <w:rtl w:val="0"/>
      </w:rPr>
      <w:t xml:space="preserve">David Spears</w:t>
    </w:r>
    <w:commentRangeEnd w:id="0"/>
    <w:r w:rsidDel="00000000" w:rsidR="00000000" w:rsidRPr="00000000">
      <w:commentReference w:id="0"/>
    </w:r>
    <w:commentRangeEnd w:id="1"/>
    <w:r w:rsidDel="00000000" w:rsidR="00000000" w:rsidRPr="00000000">
      <w:commentReference w:id="1"/>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 -Vice-President, </w:t>
    </w:r>
    <w:r w:rsidDel="00000000" w:rsidR="00000000" w:rsidRPr="00000000">
      <w:rPr>
        <w:rFonts w:ascii="Helvetica Neue" w:cs="Helvetica Neue" w:eastAsia="Helvetica Neue" w:hAnsi="Helvetica Neue"/>
        <w:b w:val="1"/>
        <w:sz w:val="16"/>
        <w:szCs w:val="16"/>
        <w:rtl w:val="0"/>
      </w:rPr>
      <w:t xml:space="preserve">Rebecca Eikey</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 Treasurer, Brittany Applen- Secretary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